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02D52" w14:textId="345761E1" w:rsidR="00FC3150" w:rsidRDefault="00FC3150" w:rsidP="00254239">
      <w:pPr>
        <w:spacing w:after="0" w:line="480" w:lineRule="auto"/>
        <w:jc w:val="center"/>
        <w:rPr>
          <w:rFonts w:ascii="Times New Roman" w:hAnsi="Times New Roman" w:cs="Times New Roman"/>
          <w:sz w:val="24"/>
          <w:szCs w:val="24"/>
        </w:rPr>
      </w:pPr>
    </w:p>
    <w:p w14:paraId="1752CC55" w14:textId="5E759951" w:rsidR="00FC3150" w:rsidRDefault="00FC3150" w:rsidP="00254239">
      <w:pPr>
        <w:spacing w:after="0" w:line="480" w:lineRule="auto"/>
        <w:jc w:val="center"/>
        <w:rPr>
          <w:rFonts w:ascii="Times New Roman" w:hAnsi="Times New Roman" w:cs="Times New Roman"/>
          <w:sz w:val="24"/>
          <w:szCs w:val="24"/>
        </w:rPr>
      </w:pPr>
    </w:p>
    <w:p w14:paraId="60879A5B" w14:textId="4D397E68" w:rsidR="00FC3150" w:rsidRDefault="00FC3150" w:rsidP="00254239">
      <w:pPr>
        <w:spacing w:after="0" w:line="480" w:lineRule="auto"/>
        <w:jc w:val="center"/>
        <w:rPr>
          <w:rFonts w:ascii="Times New Roman" w:hAnsi="Times New Roman" w:cs="Times New Roman"/>
          <w:sz w:val="24"/>
          <w:szCs w:val="24"/>
        </w:rPr>
      </w:pPr>
    </w:p>
    <w:p w14:paraId="31B34475" w14:textId="45560CD4" w:rsidR="00FC3150" w:rsidRDefault="00FC3150" w:rsidP="00254239">
      <w:pPr>
        <w:spacing w:after="0" w:line="480" w:lineRule="auto"/>
        <w:jc w:val="center"/>
        <w:rPr>
          <w:rFonts w:ascii="Times New Roman" w:hAnsi="Times New Roman" w:cs="Times New Roman"/>
          <w:sz w:val="24"/>
          <w:szCs w:val="24"/>
        </w:rPr>
      </w:pPr>
    </w:p>
    <w:p w14:paraId="1136F011" w14:textId="03A487DB" w:rsidR="00FC3150" w:rsidRDefault="00FC3150" w:rsidP="00254239">
      <w:pPr>
        <w:spacing w:after="0" w:line="480" w:lineRule="auto"/>
        <w:jc w:val="center"/>
        <w:rPr>
          <w:rFonts w:ascii="Times New Roman" w:hAnsi="Times New Roman" w:cs="Times New Roman"/>
          <w:sz w:val="24"/>
          <w:szCs w:val="24"/>
        </w:rPr>
      </w:pPr>
    </w:p>
    <w:p w14:paraId="59FCA191" w14:textId="4BCF1CAE" w:rsidR="00FC3150" w:rsidRDefault="00FC3150" w:rsidP="00254239">
      <w:pPr>
        <w:spacing w:after="0" w:line="480" w:lineRule="auto"/>
        <w:jc w:val="center"/>
        <w:rPr>
          <w:rFonts w:ascii="Times New Roman" w:hAnsi="Times New Roman" w:cs="Times New Roman"/>
          <w:sz w:val="24"/>
          <w:szCs w:val="24"/>
        </w:rPr>
      </w:pPr>
    </w:p>
    <w:p w14:paraId="221E6165" w14:textId="028B1173" w:rsidR="00FC3150" w:rsidRDefault="00FC3150" w:rsidP="00254239">
      <w:pPr>
        <w:spacing w:after="0" w:line="480" w:lineRule="auto"/>
        <w:jc w:val="center"/>
        <w:rPr>
          <w:rFonts w:ascii="Times New Roman" w:hAnsi="Times New Roman" w:cs="Times New Roman"/>
          <w:sz w:val="24"/>
          <w:szCs w:val="24"/>
        </w:rPr>
      </w:pPr>
    </w:p>
    <w:p w14:paraId="2C290D45" w14:textId="77777777" w:rsidR="00FC3150" w:rsidRDefault="00FC3150" w:rsidP="00254239">
      <w:pPr>
        <w:spacing w:after="0" w:line="480" w:lineRule="auto"/>
        <w:jc w:val="center"/>
        <w:rPr>
          <w:rFonts w:ascii="Times New Roman" w:hAnsi="Times New Roman" w:cs="Times New Roman"/>
          <w:sz w:val="24"/>
          <w:szCs w:val="24"/>
        </w:rPr>
      </w:pPr>
    </w:p>
    <w:p w14:paraId="28BD27D1" w14:textId="210FD744" w:rsidR="00254239" w:rsidRPr="00254239" w:rsidRDefault="00F35D3C" w:rsidP="00254239">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t xml:space="preserve">Article </w:t>
      </w:r>
      <w:r w:rsidR="00093C89">
        <w:rPr>
          <w:rFonts w:ascii="Times New Roman" w:hAnsi="Times New Roman" w:cs="Times New Roman"/>
          <w:sz w:val="24"/>
          <w:szCs w:val="24"/>
        </w:rPr>
        <w:t>Review</w:t>
      </w:r>
    </w:p>
    <w:p w14:paraId="7BAD47C7" w14:textId="77777777" w:rsidR="00254239" w:rsidRDefault="00F35D3C" w:rsidP="002542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1142F98" w14:textId="54339F33" w:rsidR="00254239" w:rsidRDefault="00F35D3C" w:rsidP="00FC31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C3150">
        <w:rPr>
          <w:rFonts w:ascii="Times New Roman" w:hAnsi="Times New Roman" w:cs="Times New Roman"/>
          <w:sz w:val="24"/>
          <w:szCs w:val="24"/>
        </w:rPr>
        <w:t>s</w:t>
      </w:r>
    </w:p>
    <w:p w14:paraId="4CCCCCF2" w14:textId="77777777" w:rsidR="00FC3150" w:rsidRDefault="00F35D3C" w:rsidP="002542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72BB2E" w14:textId="7359DDEE" w:rsidR="00417DC3" w:rsidRPr="00254239" w:rsidRDefault="00F35D3C" w:rsidP="00254239">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lastRenderedPageBreak/>
        <w:t xml:space="preserve">Article </w:t>
      </w:r>
      <w:r w:rsidR="00093C89">
        <w:rPr>
          <w:rFonts w:ascii="Times New Roman" w:hAnsi="Times New Roman" w:cs="Times New Roman"/>
          <w:sz w:val="24"/>
          <w:szCs w:val="24"/>
        </w:rPr>
        <w:t>Review</w:t>
      </w:r>
    </w:p>
    <w:p w14:paraId="6283944C" w14:textId="77777777" w:rsidR="00417DC3" w:rsidRPr="00254239" w:rsidRDefault="00F35D3C" w:rsidP="00254239">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sz w:val="24"/>
          <w:szCs w:val="24"/>
        </w:rPr>
        <w:t>The article “</w:t>
      </w:r>
      <w:r w:rsidRPr="00254239">
        <w:rPr>
          <w:rFonts w:ascii="Times New Roman" w:hAnsi="Times New Roman" w:cs="Times New Roman"/>
          <w:color w:val="222222"/>
          <w:sz w:val="24"/>
          <w:szCs w:val="24"/>
          <w:shd w:val="clear" w:color="auto" w:fill="FFFFFF"/>
        </w:rPr>
        <w:t xml:space="preserve">Safety of novel microbes for human consumption: practical examples of assessment in the </w:t>
      </w:r>
      <w:bookmarkStart w:id="0" w:name="_GoBack"/>
      <w:bookmarkEnd w:id="0"/>
      <w:r w:rsidRPr="00254239">
        <w:rPr>
          <w:rFonts w:ascii="Times New Roman" w:hAnsi="Times New Roman" w:cs="Times New Roman"/>
          <w:color w:val="222222"/>
          <w:sz w:val="24"/>
          <w:szCs w:val="24"/>
          <w:shd w:val="clear" w:color="auto" w:fill="FFFFFF"/>
        </w:rPr>
        <w:t xml:space="preserve">European Union" is authored by Theodore Brodmann, Akihito Endo, </w:t>
      </w:r>
      <w:r w:rsidRPr="00254239">
        <w:rPr>
          <w:rFonts w:ascii="Times New Roman" w:hAnsi="Times New Roman" w:cs="Times New Roman"/>
          <w:color w:val="222222"/>
          <w:sz w:val="24"/>
          <w:szCs w:val="24"/>
          <w:shd w:val="clear" w:color="auto" w:fill="FFFFFF"/>
        </w:rPr>
        <w:t>Miguel Gueimonde, Gabriel Vinderola, Wolfgang Kneifel, Willem de Vos, Seppo Salminen and Carlos Gomez-Gallego. In the article, the authors examine the health benefits of microbiota found in the novel microbes. In the background of the paper, the authors hi</w:t>
      </w:r>
      <w:r w:rsidRPr="00254239">
        <w:rPr>
          <w:rFonts w:ascii="Times New Roman" w:hAnsi="Times New Roman" w:cs="Times New Roman"/>
          <w:color w:val="222222"/>
          <w:sz w:val="24"/>
          <w:szCs w:val="24"/>
          <w:shd w:val="clear" w:color="auto" w:fill="FFFFFF"/>
        </w:rPr>
        <w:t>ghlight the rationale for the study, the authors look at how scientific studies have explored the role of microorganisms in human nutrition. In their paper, the scientists wanted to explore the safety evaluation for the novel food in accordance with the Eu</w:t>
      </w:r>
      <w:r w:rsidRPr="00254239">
        <w:rPr>
          <w:rFonts w:ascii="Times New Roman" w:hAnsi="Times New Roman" w:cs="Times New Roman"/>
          <w:color w:val="222222"/>
          <w:sz w:val="24"/>
          <w:szCs w:val="24"/>
          <w:shd w:val="clear" w:color="auto" w:fill="FFFFFF"/>
        </w:rPr>
        <w:t>ropean Union novel food ingredient regulations (Brodmann et al., 2017).</w:t>
      </w:r>
    </w:p>
    <w:p w14:paraId="6CDD177A" w14:textId="1210E5E6" w:rsidR="00417DC3" w:rsidRPr="00254239" w:rsidRDefault="00F35D3C" w:rsidP="00254239">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The hypothesis under investigation in this article is that the use of novel microbes to improve people’s health outcomes is associated with the gut microbiota in human health. Based on</w:t>
      </w:r>
      <w:r w:rsidRPr="00254239">
        <w:rPr>
          <w:rFonts w:ascii="Times New Roman" w:hAnsi="Times New Roman" w:cs="Times New Roman"/>
          <w:color w:val="222222"/>
          <w:sz w:val="24"/>
          <w:szCs w:val="24"/>
          <w:shd w:val="clear" w:color="auto" w:fill="FFFFFF"/>
        </w:rPr>
        <w:t xml:space="preserve"> the two key </w:t>
      </w:r>
      <w:r w:rsidR="00254239" w:rsidRPr="00254239">
        <w:rPr>
          <w:rFonts w:ascii="Times New Roman" w:hAnsi="Times New Roman" w:cs="Times New Roman"/>
          <w:color w:val="222222"/>
          <w:sz w:val="24"/>
          <w:szCs w:val="24"/>
          <w:shd w:val="clear" w:color="auto" w:fill="FFFFFF"/>
        </w:rPr>
        <w:t>microorganisms</w:t>
      </w:r>
      <w:r w:rsidRPr="00254239">
        <w:rPr>
          <w:rFonts w:ascii="Times New Roman" w:hAnsi="Times New Roman" w:cs="Times New Roman"/>
          <w:color w:val="222222"/>
          <w:sz w:val="24"/>
          <w:szCs w:val="24"/>
          <w:shd w:val="clear" w:color="auto" w:fill="FFFFFF"/>
        </w:rPr>
        <w:t xml:space="preserve">, </w:t>
      </w:r>
      <w:r w:rsidRPr="00254239">
        <w:rPr>
          <w:rFonts w:ascii="Times New Roman" w:hAnsi="Times New Roman" w:cs="Times New Roman"/>
          <w:i/>
          <w:color w:val="222222"/>
          <w:sz w:val="24"/>
          <w:szCs w:val="24"/>
          <w:shd w:val="clear" w:color="auto" w:fill="FFFFFF"/>
        </w:rPr>
        <w:t>B. xylanisolvens</w:t>
      </w:r>
      <w:r w:rsidRPr="00254239">
        <w:rPr>
          <w:rFonts w:ascii="Times New Roman" w:hAnsi="Times New Roman" w:cs="Times New Roman"/>
          <w:color w:val="222222"/>
          <w:sz w:val="24"/>
          <w:szCs w:val="24"/>
          <w:shd w:val="clear" w:color="auto" w:fill="FFFFFF"/>
        </w:rPr>
        <w:t xml:space="preserve"> and </w:t>
      </w:r>
      <w:r w:rsidRPr="00254239">
        <w:rPr>
          <w:rFonts w:ascii="Times New Roman" w:hAnsi="Times New Roman" w:cs="Times New Roman"/>
          <w:i/>
          <w:color w:val="222222"/>
          <w:sz w:val="24"/>
          <w:szCs w:val="24"/>
          <w:shd w:val="clear" w:color="auto" w:fill="FFFFFF"/>
        </w:rPr>
        <w:t>A. muciniphila</w:t>
      </w:r>
      <w:r w:rsidRPr="00254239">
        <w:rPr>
          <w:rFonts w:ascii="Times New Roman" w:hAnsi="Times New Roman" w:cs="Times New Roman"/>
          <w:color w:val="222222"/>
          <w:sz w:val="24"/>
          <w:szCs w:val="24"/>
          <w:shd w:val="clear" w:color="auto" w:fill="FFFFFF"/>
        </w:rPr>
        <w:t xml:space="preserve">, the scientists undertake safety assessments to determine if they can lead to novel food authorization in the future (Brodmann et al., 2017). </w:t>
      </w:r>
    </w:p>
    <w:p w14:paraId="78DA846D" w14:textId="77777777" w:rsidR="00417DC3" w:rsidRPr="00254239" w:rsidRDefault="00F35D3C" w:rsidP="00254239">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The results show that the microbes under investi</w:t>
      </w:r>
      <w:r w:rsidRPr="00254239">
        <w:rPr>
          <w:rFonts w:ascii="Times New Roman" w:hAnsi="Times New Roman" w:cs="Times New Roman"/>
          <w:color w:val="222222"/>
          <w:sz w:val="24"/>
          <w:szCs w:val="24"/>
          <w:shd w:val="clear" w:color="auto" w:fill="FFFFFF"/>
        </w:rPr>
        <w:t>gation have the potential to be used in food production to enhance food consumers' health outcomes. According to Brodmann et al. (2017), due to the growing amount of evidence supporting the modulation of different microbes through the use of prebiotics, pr</w:t>
      </w:r>
      <w:r w:rsidRPr="00254239">
        <w:rPr>
          <w:rFonts w:ascii="Times New Roman" w:hAnsi="Times New Roman" w:cs="Times New Roman"/>
          <w:color w:val="222222"/>
          <w:sz w:val="24"/>
          <w:szCs w:val="24"/>
          <w:shd w:val="clear" w:color="auto" w:fill="FFFFFF"/>
        </w:rPr>
        <w:t>obiotics and symbiotics show that there is hope that even those microbes that have not been identified under the EU regulations could be considered in the future due to their importance in therapeutic applications in human health. The findings supported th</w:t>
      </w:r>
      <w:r w:rsidRPr="00254239">
        <w:rPr>
          <w:rFonts w:ascii="Times New Roman" w:hAnsi="Times New Roman" w:cs="Times New Roman"/>
          <w:color w:val="222222"/>
          <w:sz w:val="24"/>
          <w:szCs w:val="24"/>
          <w:shd w:val="clear" w:color="auto" w:fill="FFFFFF"/>
        </w:rPr>
        <w:t xml:space="preserve">e scientists' hypothesis because they proved that the use of microorganisms could be beneficial to the food consumers' health. In their assessment, the authors noted that even the pasteurized and </w:t>
      </w:r>
      <w:r w:rsidRPr="00254239">
        <w:rPr>
          <w:rFonts w:ascii="Times New Roman" w:hAnsi="Times New Roman" w:cs="Times New Roman"/>
          <w:color w:val="222222"/>
          <w:sz w:val="24"/>
          <w:szCs w:val="24"/>
          <w:shd w:val="clear" w:color="auto" w:fill="FFFFFF"/>
        </w:rPr>
        <w:lastRenderedPageBreak/>
        <w:t xml:space="preserve">no-replicating </w:t>
      </w:r>
      <w:r w:rsidRPr="00254239">
        <w:rPr>
          <w:rFonts w:ascii="Times New Roman" w:hAnsi="Times New Roman" w:cs="Times New Roman"/>
          <w:i/>
          <w:color w:val="222222"/>
          <w:sz w:val="24"/>
          <w:szCs w:val="24"/>
          <w:shd w:val="clear" w:color="auto" w:fill="FFFFFF"/>
        </w:rPr>
        <w:t>Akkermansia</w:t>
      </w:r>
      <w:r w:rsidRPr="00254239">
        <w:rPr>
          <w:rFonts w:ascii="Times New Roman" w:hAnsi="Times New Roman" w:cs="Times New Roman"/>
          <w:color w:val="222222"/>
          <w:sz w:val="24"/>
          <w:szCs w:val="24"/>
          <w:shd w:val="clear" w:color="auto" w:fill="FFFFFF"/>
        </w:rPr>
        <w:t xml:space="preserve"> cells showed potential health benefits. The benefits that the scientists noted include decreased fat-mass development, insulin resistance and dyslipidaemia in obese individuals (Brodmann et al., 2017). According to Brodmann et al. (2017), this discovery c</w:t>
      </w:r>
      <w:r w:rsidRPr="00254239">
        <w:rPr>
          <w:rFonts w:ascii="Times New Roman" w:hAnsi="Times New Roman" w:cs="Times New Roman"/>
          <w:color w:val="222222"/>
          <w:sz w:val="24"/>
          <w:szCs w:val="24"/>
          <w:shd w:val="clear" w:color="auto" w:fill="FFFFFF"/>
        </w:rPr>
        <w:t>ould mean that the microbes could have a crucial role to play in the future food production. Further, they asserted that the new insights may facilitate the process of authorizing the use of such microbes because of the potential health benefits noted on t</w:t>
      </w:r>
      <w:r w:rsidRPr="00254239">
        <w:rPr>
          <w:rFonts w:ascii="Times New Roman" w:hAnsi="Times New Roman" w:cs="Times New Roman"/>
          <w:color w:val="222222"/>
          <w:sz w:val="24"/>
          <w:szCs w:val="24"/>
          <w:shd w:val="clear" w:color="auto" w:fill="FFFFFF"/>
        </w:rPr>
        <w:t xml:space="preserve">he studies that they examined. Even though some information is still lacking in regards to </w:t>
      </w:r>
      <w:r w:rsidRPr="00254239">
        <w:rPr>
          <w:rFonts w:ascii="Times New Roman" w:hAnsi="Times New Roman" w:cs="Times New Roman"/>
          <w:i/>
          <w:color w:val="222222"/>
          <w:sz w:val="24"/>
          <w:szCs w:val="24"/>
          <w:shd w:val="clear" w:color="auto" w:fill="FFFFFF"/>
        </w:rPr>
        <w:t>A. muciniphila</w:t>
      </w:r>
      <w:r w:rsidRPr="00254239">
        <w:rPr>
          <w:rFonts w:ascii="Times New Roman" w:hAnsi="Times New Roman" w:cs="Times New Roman"/>
          <w:color w:val="222222"/>
          <w:sz w:val="24"/>
          <w:szCs w:val="24"/>
          <w:shd w:val="clear" w:color="auto" w:fill="FFFFFF"/>
        </w:rPr>
        <w:t xml:space="preserve"> microbes as compared to </w:t>
      </w:r>
      <w:r w:rsidRPr="00254239">
        <w:rPr>
          <w:rFonts w:ascii="Times New Roman" w:hAnsi="Times New Roman" w:cs="Times New Roman"/>
          <w:i/>
          <w:color w:val="222222"/>
          <w:sz w:val="24"/>
          <w:szCs w:val="24"/>
          <w:shd w:val="clear" w:color="auto" w:fill="FFFFFF"/>
        </w:rPr>
        <w:t>B. xylanisolvens</w:t>
      </w:r>
      <w:r w:rsidRPr="00254239">
        <w:rPr>
          <w:rFonts w:ascii="Times New Roman" w:hAnsi="Times New Roman" w:cs="Times New Roman"/>
          <w:color w:val="222222"/>
          <w:sz w:val="24"/>
          <w:szCs w:val="24"/>
          <w:shd w:val="clear" w:color="auto" w:fill="FFFFFF"/>
        </w:rPr>
        <w:t>, the scientists showed optimism in their study findings citing that the existing information about the taxono</w:t>
      </w:r>
      <w:r w:rsidRPr="00254239">
        <w:rPr>
          <w:rFonts w:ascii="Times New Roman" w:hAnsi="Times New Roman" w:cs="Times New Roman"/>
          <w:color w:val="222222"/>
          <w:sz w:val="24"/>
          <w:szCs w:val="24"/>
          <w:shd w:val="clear" w:color="auto" w:fill="FFFFFF"/>
        </w:rPr>
        <w:t xml:space="preserve">my, cultural methods, toxicological nature, pathogenic nature, and nutritional assessment in animal models is sufficient enough to provide the relevant information needed for the approval of the microbes in future (Brodmann et al., 2017). </w:t>
      </w:r>
    </w:p>
    <w:p w14:paraId="72173305" w14:textId="77777777" w:rsidR="00417DC3" w:rsidRPr="00254239" w:rsidRDefault="00F35D3C" w:rsidP="00254239">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The scientists u</w:t>
      </w:r>
      <w:r w:rsidRPr="00254239">
        <w:rPr>
          <w:rFonts w:ascii="Times New Roman" w:hAnsi="Times New Roman" w:cs="Times New Roman"/>
          <w:color w:val="222222"/>
          <w:sz w:val="24"/>
          <w:szCs w:val="24"/>
          <w:shd w:val="clear" w:color="auto" w:fill="FFFFFF"/>
        </w:rPr>
        <w:t>sed a literature review method or technique to collect data from previous scientific studies on microbes' safety to be used in human beings for their health benefits. The authors relied on food policy documents and scientific peer-reviewed article journals</w:t>
      </w:r>
      <w:r w:rsidRPr="00254239">
        <w:rPr>
          <w:rFonts w:ascii="Times New Roman" w:hAnsi="Times New Roman" w:cs="Times New Roman"/>
          <w:color w:val="222222"/>
          <w:sz w:val="24"/>
          <w:szCs w:val="24"/>
          <w:shd w:val="clear" w:color="auto" w:fill="FFFFFF"/>
        </w:rPr>
        <w:t xml:space="preserve"> to examine the qualification and safety levels of the microbes as well as the different classifications of microorganisms according to the EU novel food regulations.</w:t>
      </w:r>
    </w:p>
    <w:p w14:paraId="7F0D3688" w14:textId="77777777" w:rsidR="00417DC3" w:rsidRPr="00254239" w:rsidRDefault="00F35D3C" w:rsidP="00254239">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The results of this study are significant because they provide knowledge that could be he</w:t>
      </w:r>
      <w:r w:rsidRPr="00254239">
        <w:rPr>
          <w:rFonts w:ascii="Times New Roman" w:hAnsi="Times New Roman" w:cs="Times New Roman"/>
          <w:color w:val="222222"/>
          <w:sz w:val="24"/>
          <w:szCs w:val="24"/>
          <w:shd w:val="clear" w:color="auto" w:fill="FFFFFF"/>
        </w:rPr>
        <w:t>lpful in reducing the nutrition and lifestyle diseases such as obesity. The findings showed that the use of microorganisms could be of potential benefit to people with obesity because the microbes reduced the risk factors associated with being obese. There</w:t>
      </w:r>
      <w:r w:rsidRPr="00254239">
        <w:rPr>
          <w:rFonts w:ascii="Times New Roman" w:hAnsi="Times New Roman" w:cs="Times New Roman"/>
          <w:color w:val="222222"/>
          <w:sz w:val="24"/>
          <w:szCs w:val="24"/>
          <w:shd w:val="clear" w:color="auto" w:fill="FFFFFF"/>
        </w:rPr>
        <w:t xml:space="preserve">fore, this study’s findings will expand health knowledge in understanding how fermented foods that contain viable bacteria could be used in clinical setting to treat or reduce the risk factors associated with obesity and other lifestyle diseases today. </w:t>
      </w:r>
    </w:p>
    <w:p w14:paraId="491B216A" w14:textId="132D03AE" w:rsidR="00254239" w:rsidRDefault="00F35D3C" w:rsidP="00F93217">
      <w:pPr>
        <w:spacing w:after="0" w:line="480" w:lineRule="auto"/>
        <w:ind w:firstLine="720"/>
        <w:rPr>
          <w:rFonts w:ascii="Times New Roman" w:hAnsi="Times New Roman" w:cs="Times New Roman"/>
          <w:sz w:val="24"/>
          <w:szCs w:val="24"/>
        </w:rPr>
      </w:pPr>
      <w:r w:rsidRPr="00254239">
        <w:rPr>
          <w:rFonts w:ascii="Times New Roman" w:hAnsi="Times New Roman" w:cs="Times New Roman"/>
          <w:sz w:val="24"/>
          <w:szCs w:val="24"/>
        </w:rPr>
        <w:lastRenderedPageBreak/>
        <w:t xml:space="preserve">I </w:t>
      </w:r>
      <w:r w:rsidRPr="00254239">
        <w:rPr>
          <w:rFonts w:ascii="Times New Roman" w:hAnsi="Times New Roman" w:cs="Times New Roman"/>
          <w:sz w:val="24"/>
          <w:szCs w:val="24"/>
        </w:rPr>
        <w:t>chose this particular article to review because it was informative. The article looks at different previous scientific studies on the use of bacteria in food production and different policies under the regulation that could have taken me to search and unde</w:t>
      </w:r>
      <w:r w:rsidRPr="00254239">
        <w:rPr>
          <w:rFonts w:ascii="Times New Roman" w:hAnsi="Times New Roman" w:cs="Times New Roman"/>
          <w:sz w:val="24"/>
          <w:szCs w:val="24"/>
        </w:rPr>
        <w:t>rstand. Therefore, the information in the article was very informative.</w:t>
      </w:r>
    </w:p>
    <w:p w14:paraId="4B6ACE6B" w14:textId="77777777" w:rsidR="00F93217" w:rsidRDefault="00F35D3C" w:rsidP="002542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DDC1BD" w14:textId="3EEAA939" w:rsidR="00254239" w:rsidRPr="00254239" w:rsidRDefault="00F35D3C" w:rsidP="00254239">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lastRenderedPageBreak/>
        <w:t>Reference</w:t>
      </w:r>
    </w:p>
    <w:p w14:paraId="2AF71C82" w14:textId="5AEA4628" w:rsidR="00254239" w:rsidRPr="00254239" w:rsidRDefault="00F35D3C" w:rsidP="00F93217">
      <w:pPr>
        <w:spacing w:after="0" w:line="480" w:lineRule="auto"/>
        <w:ind w:left="720" w:hanging="720"/>
        <w:rPr>
          <w:rFonts w:ascii="Times New Roman" w:hAnsi="Times New Roman" w:cs="Times New Roman"/>
          <w:sz w:val="24"/>
          <w:szCs w:val="24"/>
        </w:rPr>
      </w:pPr>
      <w:r w:rsidRPr="001873F5">
        <w:rPr>
          <w:rFonts w:ascii="Times New Roman" w:hAnsi="Times New Roman" w:cs="Times New Roman"/>
          <w:color w:val="222222"/>
          <w:sz w:val="24"/>
          <w:szCs w:val="24"/>
          <w:shd w:val="clear" w:color="auto" w:fill="FFFFFF"/>
        </w:rPr>
        <w:t xml:space="preserve">Brodmann, T., Endo, A., Gueimonde, M., Vinderola, G., Kneifel, W., de Vos, W. M., ... &amp; Gómez-Gallego, C. (2017). Safety of novel microbes for human </w:t>
      </w:r>
      <w:r w:rsidRPr="001873F5">
        <w:rPr>
          <w:rFonts w:ascii="Times New Roman" w:hAnsi="Times New Roman" w:cs="Times New Roman"/>
          <w:color w:val="222222"/>
          <w:sz w:val="24"/>
          <w:szCs w:val="24"/>
          <w:shd w:val="clear" w:color="auto" w:fill="FFFFFF"/>
        </w:rPr>
        <w:t>consumption: practical examples of assessment in the European Union. </w:t>
      </w:r>
      <w:r w:rsidRPr="001873F5">
        <w:rPr>
          <w:rFonts w:ascii="Times New Roman" w:hAnsi="Times New Roman" w:cs="Times New Roman"/>
          <w:i/>
          <w:iCs/>
          <w:color w:val="222222"/>
          <w:sz w:val="24"/>
          <w:szCs w:val="24"/>
          <w:shd w:val="clear" w:color="auto" w:fill="FFFFFF"/>
        </w:rPr>
        <w:t>Frontiers in microbiology</w:t>
      </w:r>
      <w:r w:rsidRPr="001873F5">
        <w:rPr>
          <w:rFonts w:ascii="Times New Roman" w:hAnsi="Times New Roman" w:cs="Times New Roman"/>
          <w:color w:val="222222"/>
          <w:sz w:val="24"/>
          <w:szCs w:val="24"/>
          <w:shd w:val="clear" w:color="auto" w:fill="FFFFFF"/>
        </w:rPr>
        <w:t>, </w:t>
      </w:r>
      <w:r w:rsidRPr="001873F5">
        <w:rPr>
          <w:rFonts w:ascii="Times New Roman" w:hAnsi="Times New Roman" w:cs="Times New Roman"/>
          <w:i/>
          <w:iCs/>
          <w:color w:val="222222"/>
          <w:sz w:val="24"/>
          <w:szCs w:val="24"/>
          <w:shd w:val="clear" w:color="auto" w:fill="FFFFFF"/>
        </w:rPr>
        <w:t>8</w:t>
      </w:r>
      <w:r w:rsidRPr="001873F5">
        <w:rPr>
          <w:rFonts w:ascii="Times New Roman" w:hAnsi="Times New Roman" w:cs="Times New Roman"/>
          <w:color w:val="222222"/>
          <w:sz w:val="24"/>
          <w:szCs w:val="24"/>
          <w:shd w:val="clear" w:color="auto" w:fill="FFFFFF"/>
        </w:rPr>
        <w:t>, 1725.</w:t>
      </w:r>
    </w:p>
    <w:sectPr w:rsidR="00254239" w:rsidRPr="00254239" w:rsidSect="002542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DEB18" w14:textId="77777777" w:rsidR="00F35D3C" w:rsidRDefault="00F35D3C">
      <w:pPr>
        <w:spacing w:after="0" w:line="240" w:lineRule="auto"/>
      </w:pPr>
      <w:r>
        <w:separator/>
      </w:r>
    </w:p>
  </w:endnote>
  <w:endnote w:type="continuationSeparator" w:id="0">
    <w:p w14:paraId="436234F4" w14:textId="77777777" w:rsidR="00F35D3C" w:rsidRDefault="00F35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C46B1" w14:textId="77777777" w:rsidR="00F35D3C" w:rsidRDefault="00F35D3C">
      <w:pPr>
        <w:spacing w:after="0" w:line="240" w:lineRule="auto"/>
      </w:pPr>
      <w:r>
        <w:separator/>
      </w:r>
    </w:p>
  </w:footnote>
  <w:footnote w:type="continuationSeparator" w:id="0">
    <w:p w14:paraId="18F9EE94" w14:textId="77777777" w:rsidR="00F35D3C" w:rsidRDefault="00F35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43BC0" w14:textId="7B28E48C" w:rsidR="00254239" w:rsidRPr="00FC3150" w:rsidRDefault="00F35D3C">
    <w:pPr>
      <w:pStyle w:val="Header"/>
    </w:pPr>
    <w:r w:rsidRPr="00FC3150">
      <w:rPr>
        <w:rFonts w:ascii="Times New Roman" w:hAnsi="Times New Roman" w:cs="Times New Roman"/>
      </w:rPr>
      <w:t xml:space="preserve">ARTICLE </w:t>
    </w:r>
    <w:r w:rsidR="00093C89">
      <w:rPr>
        <w:rFonts w:ascii="Times New Roman" w:hAnsi="Times New Roman" w:cs="Times New Roman"/>
      </w:rPr>
      <w:t>REVIEW</w:t>
    </w:r>
    <w:r w:rsidRPr="00FC3150">
      <w:rPr>
        <w:rFonts w:ascii="Times New Roman" w:hAnsi="Times New Roman" w:cs="Times New Roman"/>
      </w:rPr>
      <w:t xml:space="preserve"> </w:t>
    </w:r>
    <w:r w:rsidRPr="00FC3150">
      <w:rPr>
        <w:rFonts w:ascii="Times New Roman" w:hAnsi="Times New Roman" w:cs="Times New Roman"/>
      </w:rPr>
      <w:tab/>
    </w:r>
    <w:r w:rsidRPr="00FC3150">
      <w:rPr>
        <w:rFonts w:ascii="Times New Roman" w:hAnsi="Times New Roman" w:cs="Times New Roman"/>
      </w:rPr>
      <w:tab/>
    </w:r>
    <w:r w:rsidRPr="00FC3150">
      <w:rPr>
        <w:rFonts w:ascii="Times New Roman" w:hAnsi="Times New Roman" w:cs="Times New Roman"/>
      </w:rPr>
      <w:fldChar w:fldCharType="begin"/>
    </w:r>
    <w:r w:rsidRPr="00FC3150">
      <w:rPr>
        <w:rFonts w:ascii="Times New Roman" w:hAnsi="Times New Roman" w:cs="Times New Roman"/>
      </w:rPr>
      <w:instrText xml:space="preserve"> PAGE   \* MERGEFORMAT </w:instrText>
    </w:r>
    <w:r w:rsidRPr="00FC3150">
      <w:rPr>
        <w:rFonts w:ascii="Times New Roman" w:hAnsi="Times New Roman" w:cs="Times New Roman"/>
      </w:rPr>
      <w:fldChar w:fldCharType="separate"/>
    </w:r>
    <w:r w:rsidRPr="00FC3150">
      <w:rPr>
        <w:rFonts w:ascii="Times New Roman" w:hAnsi="Times New Roman" w:cs="Times New Roman"/>
        <w:noProof/>
      </w:rPr>
      <w:t>2</w:t>
    </w:r>
    <w:r w:rsidRPr="00FC315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22A28" w14:textId="2479AB9B" w:rsidR="00254239" w:rsidRPr="00FC3150" w:rsidRDefault="00F35D3C">
    <w:pPr>
      <w:pStyle w:val="Header"/>
      <w:rPr>
        <w:rFonts w:ascii="Times New Roman" w:hAnsi="Times New Roman" w:cs="Times New Roman"/>
      </w:rPr>
    </w:pPr>
    <w:r w:rsidRPr="00FC3150">
      <w:rPr>
        <w:rFonts w:ascii="Times New Roman" w:hAnsi="Times New Roman" w:cs="Times New Roman"/>
      </w:rPr>
      <w:t xml:space="preserve">Running head: </w:t>
    </w:r>
    <w:r w:rsidR="00FC3150" w:rsidRPr="00FC3150">
      <w:rPr>
        <w:rFonts w:ascii="Times New Roman" w:hAnsi="Times New Roman" w:cs="Times New Roman"/>
      </w:rPr>
      <w:t xml:space="preserve">ARTICLE </w:t>
    </w:r>
    <w:r w:rsidR="00093C89">
      <w:rPr>
        <w:rFonts w:ascii="Times New Roman" w:hAnsi="Times New Roman" w:cs="Times New Roman"/>
      </w:rPr>
      <w:t>REVIEW</w:t>
    </w:r>
    <w:r w:rsidRPr="00FC3150">
      <w:rPr>
        <w:rFonts w:ascii="Times New Roman" w:hAnsi="Times New Roman" w:cs="Times New Roman"/>
      </w:rPr>
      <w:tab/>
    </w:r>
    <w:r w:rsidRPr="00FC3150">
      <w:rPr>
        <w:rFonts w:ascii="Times New Roman" w:hAnsi="Times New Roman" w:cs="Times New Roman"/>
      </w:rPr>
      <w:tab/>
    </w:r>
    <w:r w:rsidRPr="00FC3150">
      <w:rPr>
        <w:rFonts w:ascii="Times New Roman" w:hAnsi="Times New Roman" w:cs="Times New Roman"/>
      </w:rPr>
      <w:fldChar w:fldCharType="begin"/>
    </w:r>
    <w:r w:rsidRPr="00FC3150">
      <w:rPr>
        <w:rFonts w:ascii="Times New Roman" w:hAnsi="Times New Roman" w:cs="Times New Roman"/>
      </w:rPr>
      <w:instrText xml:space="preserve"> PAGE   \* MERGEFORMAT </w:instrText>
    </w:r>
    <w:r w:rsidRPr="00FC3150">
      <w:rPr>
        <w:rFonts w:ascii="Times New Roman" w:hAnsi="Times New Roman" w:cs="Times New Roman"/>
      </w:rPr>
      <w:fldChar w:fldCharType="separate"/>
    </w:r>
    <w:r w:rsidRPr="00FC3150">
      <w:rPr>
        <w:rFonts w:ascii="Times New Roman" w:hAnsi="Times New Roman" w:cs="Times New Roman"/>
        <w:noProof/>
      </w:rPr>
      <w:t>1</w:t>
    </w:r>
    <w:r w:rsidRPr="00FC315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5A2"/>
    <w:rsid w:val="00093C89"/>
    <w:rsid w:val="000B60F7"/>
    <w:rsid w:val="000F1FDB"/>
    <w:rsid w:val="001847BB"/>
    <w:rsid w:val="001873F5"/>
    <w:rsid w:val="00254239"/>
    <w:rsid w:val="00417DC3"/>
    <w:rsid w:val="005922C0"/>
    <w:rsid w:val="008633F3"/>
    <w:rsid w:val="00A075A2"/>
    <w:rsid w:val="00AD023D"/>
    <w:rsid w:val="00B00610"/>
    <w:rsid w:val="00CF3453"/>
    <w:rsid w:val="00F35D3C"/>
    <w:rsid w:val="00F93217"/>
    <w:rsid w:val="00FC3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045A"/>
  <w15:docId w15:val="{33D5FC63-ECF9-44D2-A807-A1D994B4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239"/>
  </w:style>
  <w:style w:type="paragraph" w:styleId="Footer">
    <w:name w:val="footer"/>
    <w:basedOn w:val="Normal"/>
    <w:link w:val="FooterChar"/>
    <w:uiPriority w:val="99"/>
    <w:unhideWhenUsed/>
    <w:rsid w:val="00254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2018-12-16T04:03:00Z</dcterms:created>
  <dcterms:modified xsi:type="dcterms:W3CDTF">2018-12-16T14:46:00Z</dcterms:modified>
</cp:coreProperties>
</file>